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2243FF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7698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501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Поправке и одржавање моторних возила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под редним бројем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  дан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E7698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наручиоца</w:t>
      </w:r>
      <w:r w:rsidR="00BE50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уз обавезу понуђача да демонтира и монтира сервисирано црево.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  <w:r w:rsidR="00E7698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5579C1" w:rsidRDefault="005579C1" w:rsidP="00915967"/>
    <w:p w:rsidR="005579C1" w:rsidRDefault="005579C1" w:rsidP="00915967"/>
    <w:p w:rsidR="005579C1" w:rsidRDefault="005579C1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9B55F0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260"/>
        <w:gridCol w:w="1260"/>
        <w:gridCol w:w="1350"/>
        <w:gridCol w:w="1620"/>
      </w:tblGrid>
      <w:tr w:rsidR="00432D13" w:rsidRPr="00915967" w:rsidTr="009735F3">
        <w:tc>
          <w:tcPr>
            <w:tcW w:w="63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B55F0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B55F0" w:rsidRPr="002243FF" w:rsidRDefault="00E76989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Промер црева фи 10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E76989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E76989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12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14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16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320" w:type="dxa"/>
          </w:tcPr>
          <w:p w:rsidR="00E76989" w:rsidRDefault="00E76989" w:rsidP="00E76989">
            <w:proofErr w:type="spellStart"/>
            <w:r>
              <w:t>Промер</w:t>
            </w:r>
            <w:proofErr w:type="spellEnd"/>
            <w:r>
              <w:t xml:space="preserve"> </w:t>
            </w:r>
            <w:proofErr w:type="spellStart"/>
            <w:r>
              <w:t>црева</w:t>
            </w:r>
            <w:proofErr w:type="spellEnd"/>
            <w:r>
              <w:t xml:space="preserve"> </w:t>
            </w:r>
            <w:proofErr w:type="spellStart"/>
            <w:r>
              <w:t>фи</w:t>
            </w:r>
            <w:proofErr w:type="spellEnd"/>
            <w:r>
              <w:t xml:space="preserve"> 20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4A05E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320" w:type="dxa"/>
          </w:tcPr>
          <w:p w:rsidR="00E76989" w:rsidRPr="00E76989" w:rsidRDefault="00E76989" w:rsidP="00E76989">
            <w:pPr>
              <w:rPr>
                <w:lang w:val="sr-Cyrl-RS"/>
              </w:rPr>
            </w:pPr>
            <w:r>
              <w:rPr>
                <w:lang w:val="sr-Cyrl-RS"/>
              </w:rPr>
              <w:t>Чаура за црево фи 10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12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14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16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989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E76989" w:rsidRP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320" w:type="dxa"/>
          </w:tcPr>
          <w:p w:rsidR="00E76989" w:rsidRDefault="00E76989" w:rsidP="00E76989">
            <w:r>
              <w:rPr>
                <w:lang w:val="sr-Cyrl-RS"/>
              </w:rPr>
              <w:t>Чаура за црево фи 20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r w:rsidRPr="00E14DF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E76989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6989" w:rsidRPr="00915967" w:rsidRDefault="00E76989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989" w:rsidRDefault="00E76989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не дужи од 1  дан  на адреси </w:t>
            </w:r>
            <w:r w:rsidR="00E7698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наручиоца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82469C" w:rsidRDefault="0082469C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5B1F" w:rsidRDefault="00A35B1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израде хидрауличних црева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BE50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BE50C5" w:rsidRDefault="00915967" w:rsidP="00BE50C5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7698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Ул.Васе Николића бб Алексинац, </w:t>
      </w:r>
      <w:r w:rsidR="00BE50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уз обавезу понуђача да демонт</w:t>
      </w:r>
      <w:r w:rsidR="00BE50C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ира и монтира сервисирано црево</w:t>
      </w: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76989" w:rsidRDefault="00E76989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9735F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72876"/>
    <w:rsid w:val="00117965"/>
    <w:rsid w:val="001E63B2"/>
    <w:rsid w:val="002243FF"/>
    <w:rsid w:val="002E441F"/>
    <w:rsid w:val="00315D42"/>
    <w:rsid w:val="00432D13"/>
    <w:rsid w:val="00444606"/>
    <w:rsid w:val="005579C1"/>
    <w:rsid w:val="00564A3C"/>
    <w:rsid w:val="006B334A"/>
    <w:rsid w:val="00734586"/>
    <w:rsid w:val="0082469C"/>
    <w:rsid w:val="008A02E7"/>
    <w:rsid w:val="00915967"/>
    <w:rsid w:val="009735F3"/>
    <w:rsid w:val="009B55F0"/>
    <w:rsid w:val="00A35B1F"/>
    <w:rsid w:val="00B754F0"/>
    <w:rsid w:val="00BE50C5"/>
    <w:rsid w:val="00CF30EC"/>
    <w:rsid w:val="00E76989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2021-07-20T10:31:00Z</cp:lastPrinted>
  <dcterms:created xsi:type="dcterms:W3CDTF">2021-02-03T09:29:00Z</dcterms:created>
  <dcterms:modified xsi:type="dcterms:W3CDTF">2021-07-20T10:32:00Z</dcterms:modified>
</cp:coreProperties>
</file>