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456C1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1286</w:t>
      </w:r>
      <w:bookmarkStart w:id="0" w:name="_GoBack"/>
      <w:bookmarkEnd w:id="0"/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318D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10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9318D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9318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Коса за вишенаменско возило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9318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дужи од 15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Услови плаћања: на текући рачун испоручиоца у року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не дужем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16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9318D1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</w:t>
      </w:r>
      <w:r w:rsidR="009318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318D1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9318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Коса </w:t>
      </w:r>
      <w:r w:rsidR="00456C18">
        <w:rPr>
          <w:rFonts w:ascii="Times New Roman" w:eastAsia="Calibri" w:hAnsi="Times New Roman" w:cs="Times New Roman"/>
          <w:sz w:val="24"/>
          <w:szCs w:val="24"/>
          <w:lang w:val="sr-Cyrl-CS"/>
        </w:rPr>
        <w:t>за виш</w:t>
      </w:r>
      <w:r w:rsidR="009318D1">
        <w:rPr>
          <w:rFonts w:ascii="Times New Roman" w:eastAsia="Calibri" w:hAnsi="Times New Roman" w:cs="Times New Roman"/>
          <w:sz w:val="24"/>
          <w:szCs w:val="24"/>
          <w:lang w:val="sr-Cyrl-CS"/>
        </w:rPr>
        <w:t>енаменско возило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9318D1" w:rsidRDefault="009318D1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Коса за вишенаменско возило</w:t>
            </w:r>
            <w:r w:rsidR="000C7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745C9" w:rsidRPr="000C7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Унимаг У</w:t>
            </w:r>
            <w:r w:rsidR="009A20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1200 , таруп</w:t>
            </w:r>
            <w:r w:rsidR="005745C9" w:rsidRPr="000C7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</w:t>
            </w:r>
            <w:r w:rsidR="009A20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5745C9" w:rsidRPr="000C78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 тренутно налази на машини </w:t>
            </w:r>
            <w:r w:rsidR="005745C9" w:rsidRPr="000C7807">
              <w:rPr>
                <w:rFonts w:ascii="Times New Roman" w:hAnsi="Times New Roman" w:cs="Times New Roman"/>
                <w:sz w:val="24"/>
                <w:szCs w:val="24"/>
              </w:rPr>
              <w:t>Ducker MKTB13R</w:t>
            </w:r>
          </w:p>
          <w:p w:rsidR="000C7807" w:rsidRDefault="000C7807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BD5F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онуђени таруп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</w:t>
            </w:r>
            <w:r w:rsidR="00BD5F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ошење </w:t>
            </w:r>
            <w:r w:rsidR="009A20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половни </w:t>
            </w:r>
            <w:r w:rsidR="00BD5F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треба да испуњава следеће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кар</w:t>
            </w:r>
            <w:r w:rsidR="00BD5F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актеристике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0C7807" w:rsidRDefault="000C7807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="00BD5F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радни захват 1200mm</w:t>
            </w:r>
          </w:p>
          <w:p w:rsidR="00BD5F09" w:rsidRDefault="00BD5F09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-број ножева 10-12 комада</w:t>
            </w:r>
          </w:p>
          <w:p w:rsidR="00BD5F09" w:rsidRPr="00BD5F09" w:rsidRDefault="00BD5F09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-радни притисак 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</w:p>
          <w:p w:rsidR="000C7807" w:rsidRPr="000C7807" w:rsidRDefault="00BD5F09" w:rsidP="002E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-проток минимум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l/min</w:t>
            </w:r>
          </w:p>
          <w:p w:rsidR="005745C9" w:rsidRPr="00BD5F09" w:rsidRDefault="00BD5F09" w:rsidP="002E472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-тежина минимум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5745C9" w:rsidRDefault="005745C9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B55120" w:rsidRPr="00085AD1" w:rsidTr="003B54E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A20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Наручлац ће пре потписивања уговора комисијски извршити преглед понуђеног добра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BD5F09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BD5F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15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5745C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50188" w:rsidRDefault="0055018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456C1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–Коса за вишенаменско возило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D05EC9" w:rsidRDefault="00915967" w:rsidP="000C780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5745C9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Коса за вишенаменско возило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55018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55018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05EC9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добро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</w:t>
      </w:r>
      <w:proofErr w:type="spellEnd"/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е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65AF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C780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444606" w:rsidRPr="00444606" w:rsidRDefault="005745C9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Цена дата у понуди је фиксна и не може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се мењати за време трајања уговора.</w:t>
      </w:r>
    </w:p>
    <w:p w:rsidR="00085AD1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745C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745C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карактеристикама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5745C9" w:rsidRPr="005745C9" w:rsidRDefault="005745C9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Место испоруке адреса Понуђача_______________________________________________.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0C780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</w:t>
      </w:r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овор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="000C78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8A02E7" w:rsidRDefault="00915967" w:rsidP="000C780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19" w:rsidRDefault="00155619" w:rsidP="00DE78A3">
      <w:pPr>
        <w:spacing w:after="0" w:line="240" w:lineRule="auto"/>
      </w:pPr>
      <w:r>
        <w:separator/>
      </w:r>
    </w:p>
  </w:endnote>
  <w:endnote w:type="continuationSeparator" w:id="0">
    <w:p w:rsidR="00155619" w:rsidRDefault="00155619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56C1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56C18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19" w:rsidRDefault="00155619" w:rsidP="00DE78A3">
      <w:pPr>
        <w:spacing w:after="0" w:line="240" w:lineRule="auto"/>
      </w:pPr>
      <w:r>
        <w:separator/>
      </w:r>
    </w:p>
  </w:footnote>
  <w:footnote w:type="continuationSeparator" w:id="0">
    <w:p w:rsidR="00155619" w:rsidRDefault="00155619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5AF9"/>
    <w:rsid w:val="00085AD1"/>
    <w:rsid w:val="000C7807"/>
    <w:rsid w:val="00117965"/>
    <w:rsid w:val="00155619"/>
    <w:rsid w:val="001C1125"/>
    <w:rsid w:val="001E63B2"/>
    <w:rsid w:val="002100AF"/>
    <w:rsid w:val="002770F5"/>
    <w:rsid w:val="002E441F"/>
    <w:rsid w:val="002E4720"/>
    <w:rsid w:val="003068C1"/>
    <w:rsid w:val="00432D13"/>
    <w:rsid w:val="00444606"/>
    <w:rsid w:val="00456C18"/>
    <w:rsid w:val="00481C6A"/>
    <w:rsid w:val="00497E76"/>
    <w:rsid w:val="0051137F"/>
    <w:rsid w:val="005418A7"/>
    <w:rsid w:val="00550188"/>
    <w:rsid w:val="00564A3C"/>
    <w:rsid w:val="005745C9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318D1"/>
    <w:rsid w:val="00947320"/>
    <w:rsid w:val="009A2011"/>
    <w:rsid w:val="00A80D61"/>
    <w:rsid w:val="00B261F0"/>
    <w:rsid w:val="00B4134D"/>
    <w:rsid w:val="00B55120"/>
    <w:rsid w:val="00BB07FB"/>
    <w:rsid w:val="00BD5F09"/>
    <w:rsid w:val="00C07D6A"/>
    <w:rsid w:val="00C10E05"/>
    <w:rsid w:val="00C7367D"/>
    <w:rsid w:val="00CA2C7C"/>
    <w:rsid w:val="00CE0EE9"/>
    <w:rsid w:val="00CF30EC"/>
    <w:rsid w:val="00D05EC9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2021-12-10T12:40:00Z</cp:lastPrinted>
  <dcterms:created xsi:type="dcterms:W3CDTF">2021-02-03T09:29:00Z</dcterms:created>
  <dcterms:modified xsi:type="dcterms:W3CDTF">2021-12-10T12:56:00Z</dcterms:modified>
</cp:coreProperties>
</file>